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76" w:rsidRDefault="00682576" w:rsidP="00263CAF">
      <w:pPr>
        <w:jc w:val="center"/>
        <w:rPr>
          <w:b/>
          <w:bCs/>
        </w:rPr>
      </w:pPr>
    </w:p>
    <w:p w:rsidR="00731DF4" w:rsidRDefault="0009281D" w:rsidP="00BD691C">
      <w:pPr>
        <w:jc w:val="center"/>
        <w:rPr>
          <w:b/>
          <w:bCs/>
        </w:rPr>
      </w:pPr>
      <w:r w:rsidRPr="00B113BD">
        <w:rPr>
          <w:b/>
          <w:bCs/>
        </w:rPr>
        <w:t>С</w:t>
      </w:r>
      <w:r w:rsidR="00731DF4">
        <w:rPr>
          <w:b/>
          <w:bCs/>
        </w:rPr>
        <w:t xml:space="preserve">ообщение о порядке доступа к инсайдерской информации, содержащейся в документе эмитента </w:t>
      </w:r>
      <w:r w:rsidRPr="00B113BD">
        <w:rPr>
          <w:b/>
          <w:bCs/>
        </w:rPr>
        <w:t xml:space="preserve"> </w:t>
      </w:r>
    </w:p>
    <w:p w:rsidR="003A3A51" w:rsidRPr="00731DF4" w:rsidRDefault="0009281D" w:rsidP="00BD691C">
      <w:pPr>
        <w:jc w:val="center"/>
        <w:rPr>
          <w:b/>
        </w:rPr>
      </w:pPr>
      <w:r w:rsidRPr="00B113BD">
        <w:rPr>
          <w:b/>
          <w:bCs/>
        </w:rPr>
        <w:br/>
      </w:r>
      <w:r w:rsidR="00731DF4" w:rsidRPr="00731DF4">
        <w:rPr>
          <w:b/>
        </w:rPr>
        <w:t>(промежуточная бухгалтерская отчетность эмитента)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RPr="00B113BD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B113BD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B113BD">
              <w:rPr>
                <w:b/>
                <w:bCs/>
              </w:rPr>
              <w:t>1. Общие сведения</w:t>
            </w:r>
          </w:p>
        </w:tc>
      </w:tr>
      <w:tr w:rsidR="003A3A51" w:rsidRPr="00B113BD" w:rsidTr="009D4559">
        <w:trPr>
          <w:trHeight w:val="528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 w:rsidRPr="00B113BD">
              <w:rPr>
                <w:snapToGrid w:val="0"/>
                <w:color w:val="000000"/>
              </w:rPr>
              <w:t> </w:t>
            </w:r>
            <w:r w:rsidRPr="00B113BD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3D3B66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 xml:space="preserve">Публичное </w:t>
            </w:r>
            <w:r w:rsidR="00A45532" w:rsidRPr="00B113BD">
              <w:rPr>
                <w:b/>
                <w:bCs/>
                <w:i/>
                <w:iCs/>
              </w:rPr>
              <w:t>акционерное общество «</w:t>
            </w:r>
            <w:r w:rsidRPr="00B113BD">
              <w:rPr>
                <w:b/>
                <w:bCs/>
                <w:i/>
                <w:iCs/>
              </w:rPr>
              <w:t>НЕФАЗ</w:t>
            </w:r>
            <w:r w:rsidR="00A45532" w:rsidRPr="00B113BD">
              <w:rPr>
                <w:b/>
                <w:bCs/>
                <w:i/>
                <w:iCs/>
              </w:rPr>
              <w:t>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113BD">
              <w:rPr>
                <w:b/>
                <w:bCs/>
                <w:i/>
                <w:iCs/>
              </w:rPr>
              <w:t>П</w:t>
            </w:r>
            <w:r w:rsidR="00A45532" w:rsidRPr="00B113BD">
              <w:rPr>
                <w:b/>
                <w:bCs/>
                <w:i/>
                <w:iCs/>
              </w:rPr>
              <w:t>АО «Н</w:t>
            </w:r>
            <w:r w:rsidR="004C0ECF" w:rsidRPr="00B113BD">
              <w:rPr>
                <w:b/>
                <w:bCs/>
                <w:i/>
                <w:iCs/>
              </w:rPr>
              <w:t>ЕФ</w:t>
            </w:r>
            <w:r w:rsidR="00A45532" w:rsidRPr="00B113BD">
              <w:rPr>
                <w:b/>
                <w:bCs/>
                <w:i/>
                <w:iCs/>
              </w:rPr>
              <w:t>АЗ»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Pr="00B113BD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rStyle w:val="SUBST"/>
                <w:bCs/>
                <w:iCs/>
                <w:sz w:val="24"/>
              </w:rPr>
              <w:t>30520-</w:t>
            </w:r>
            <w:r w:rsidRPr="00B113BD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B113BD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RPr="00B113BD" w:rsidTr="0009023A">
        <w:trPr>
          <w:trHeight w:val="284"/>
        </w:trPr>
        <w:tc>
          <w:tcPr>
            <w:tcW w:w="4820" w:type="dxa"/>
            <w:vAlign w:val="center"/>
          </w:tcPr>
          <w:p w:rsidR="0054219E" w:rsidRPr="00B113BD" w:rsidRDefault="0054219E" w:rsidP="0054219E">
            <w:r w:rsidRPr="00B113BD">
              <w:rPr>
                <w:snapToGrid w:val="0"/>
                <w:color w:val="000000"/>
              </w:rPr>
              <w:t xml:space="preserve">1.8. </w:t>
            </w:r>
            <w:r w:rsidRPr="00B113BD">
              <w:t xml:space="preserve">Дата наступления события существенного  </w:t>
            </w:r>
          </w:p>
          <w:p w:rsidR="0054219E" w:rsidRPr="00B113BD" w:rsidRDefault="0054219E" w:rsidP="0054219E">
            <w:r w:rsidRPr="00B113BD">
              <w:t xml:space="preserve">       факта), о котором составлено сообщение  </w:t>
            </w:r>
          </w:p>
          <w:p w:rsidR="0054219E" w:rsidRPr="00B113BD" w:rsidRDefault="0054219E" w:rsidP="0054219E">
            <w:pPr>
              <w:rPr>
                <w:rFonts w:ascii="Arial" w:hAnsi="Arial" w:cs="Arial"/>
              </w:rPr>
            </w:pPr>
            <w:r w:rsidRPr="00B113BD">
              <w:t xml:space="preserve">       (если применимо)</w:t>
            </w:r>
          </w:p>
        </w:tc>
        <w:tc>
          <w:tcPr>
            <w:tcW w:w="5245" w:type="dxa"/>
            <w:vAlign w:val="center"/>
          </w:tcPr>
          <w:p w:rsidR="0054219E" w:rsidRPr="00B113BD" w:rsidRDefault="00731DF4" w:rsidP="00682576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02361E">
              <w:rPr>
                <w:b/>
                <w:i/>
              </w:rPr>
              <w:t>9</w:t>
            </w:r>
            <w:r w:rsidR="0036119E">
              <w:rPr>
                <w:b/>
                <w:i/>
              </w:rPr>
              <w:t xml:space="preserve"> </w:t>
            </w:r>
            <w:r w:rsidR="00682576">
              <w:rPr>
                <w:b/>
                <w:i/>
              </w:rPr>
              <w:t>ок</w:t>
            </w:r>
            <w:r w:rsidR="00960D0D">
              <w:rPr>
                <w:b/>
                <w:i/>
              </w:rPr>
              <w:t xml:space="preserve">тября </w:t>
            </w:r>
            <w:r w:rsidR="0036119E">
              <w:rPr>
                <w:b/>
                <w:i/>
              </w:rPr>
              <w:t xml:space="preserve"> </w:t>
            </w:r>
            <w:r w:rsidR="00B113BD">
              <w:rPr>
                <w:b/>
                <w:i/>
              </w:rPr>
              <w:t xml:space="preserve"> </w:t>
            </w:r>
            <w:r w:rsidR="0054219E" w:rsidRPr="00B113BD">
              <w:rPr>
                <w:b/>
                <w:i/>
              </w:rPr>
              <w:t>20</w:t>
            </w:r>
            <w:r w:rsidR="00B62BCC" w:rsidRPr="00B113BD">
              <w:rPr>
                <w:b/>
                <w:i/>
              </w:rPr>
              <w:t>2</w:t>
            </w:r>
            <w:r w:rsidR="004B0EA7" w:rsidRPr="00B113BD">
              <w:rPr>
                <w:b/>
                <w:i/>
              </w:rPr>
              <w:t>1</w:t>
            </w:r>
            <w:r w:rsidR="0054219E" w:rsidRPr="00B113BD">
              <w:rPr>
                <w:b/>
              </w:rPr>
              <w:t xml:space="preserve"> </w:t>
            </w:r>
            <w:r w:rsidR="0054219E" w:rsidRPr="00B113BD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782BEA" w:rsidRDefault="00CB38B5" w:rsidP="00B113B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p w:rsidR="00B6290E" w:rsidRDefault="00B6290E"/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731DF4" w:rsidRPr="00CD3F61" w:rsidRDefault="00731DF4" w:rsidP="00731DF4">
                  <w:pPr>
                    <w:numPr>
                      <w:ilvl w:val="0"/>
                      <w:numId w:val="40"/>
                    </w:numPr>
                    <w:tabs>
                      <w:tab w:val="num" w:pos="426"/>
                    </w:tabs>
                    <w:adjustRightInd w:val="0"/>
                    <w:ind w:left="0" w:right="113" w:firstLine="0"/>
                    <w:jc w:val="both"/>
                  </w:pPr>
                  <w:r w:rsidRPr="00CD3F61">
                    <w:t xml:space="preserve">Вид инсайдерской информации: </w:t>
                  </w:r>
                  <w:r w:rsidRPr="006B59D5">
                    <w:rPr>
                      <w:b/>
                      <w:i/>
                    </w:rPr>
                    <w:t>промежуточная</w:t>
                  </w:r>
                  <w:r w:rsidRPr="006B59D5">
                    <w:rPr>
                      <w:b/>
                      <w:bCs/>
                      <w:i/>
                      <w:iCs/>
                    </w:rPr>
                    <w:t xml:space="preserve"> бухгалтерская отчетность ПАО «</w:t>
                  </w:r>
                  <w:r>
                    <w:rPr>
                      <w:b/>
                      <w:bCs/>
                      <w:i/>
                      <w:iCs/>
                    </w:rPr>
                    <w:t>НЕФ</w:t>
                  </w:r>
                  <w:r w:rsidRPr="006B59D5">
                    <w:rPr>
                      <w:b/>
                      <w:bCs/>
                      <w:i/>
                      <w:iCs/>
                    </w:rPr>
                    <w:t>АЗ» на 3</w:t>
                  </w:r>
                  <w:r>
                    <w:rPr>
                      <w:b/>
                      <w:bCs/>
                      <w:i/>
                      <w:iCs/>
                    </w:rPr>
                    <w:t>0</w:t>
                  </w:r>
                  <w:r w:rsidRPr="006B59D5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</w:rPr>
                    <w:t>сентября 2021</w:t>
                  </w:r>
                  <w:r w:rsidRPr="006B59D5">
                    <w:rPr>
                      <w:b/>
                      <w:bCs/>
                      <w:i/>
                      <w:iCs/>
                    </w:rPr>
                    <w:t xml:space="preserve"> года</w:t>
                  </w:r>
                  <w:r w:rsidRPr="00CD3F61">
                    <w:rPr>
                      <w:rFonts w:eastAsia="MS Mincho"/>
                      <w:b/>
                    </w:rPr>
                    <w:t>.</w:t>
                  </w:r>
                </w:p>
                <w:p w:rsidR="00731DF4" w:rsidRPr="00CD3F61" w:rsidRDefault="00731DF4" w:rsidP="00731DF4">
                  <w:pPr>
                    <w:numPr>
                      <w:ilvl w:val="0"/>
                      <w:numId w:val="40"/>
                    </w:numPr>
                    <w:tabs>
                      <w:tab w:val="num" w:pos="426"/>
                    </w:tabs>
                    <w:autoSpaceDE/>
                    <w:autoSpaceDN/>
                    <w:ind w:left="0" w:firstLine="0"/>
                    <w:jc w:val="both"/>
                  </w:pPr>
                  <w:r w:rsidRPr="00CD3F61">
                    <w:t>Отч</w:t>
                  </w:r>
                  <w:r>
                    <w:t>е</w:t>
                  </w:r>
                  <w:r w:rsidRPr="00CD3F61">
                    <w:t>тный период, за который составлена промежуточная бухгалтерская отч</w:t>
                  </w:r>
                  <w:r>
                    <w:t>е</w:t>
                  </w:r>
                  <w:r w:rsidRPr="00CD3F61">
                    <w:t>тность эмитента</w:t>
                  </w:r>
                  <w:r w:rsidRPr="00CD3F61">
                    <w:rPr>
                      <w:bCs/>
                      <w:iCs/>
                    </w:rPr>
                    <w:t xml:space="preserve">: </w:t>
                  </w:r>
                  <w:r>
                    <w:rPr>
                      <w:b/>
                      <w:bCs/>
                      <w:i/>
                      <w:iCs/>
                    </w:rPr>
                    <w:t>9 месяцев</w:t>
                  </w:r>
                  <w:r w:rsidRPr="006B59D5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</w:rPr>
                    <w:t>2021</w:t>
                  </w:r>
                  <w:r w:rsidRPr="006B59D5">
                    <w:rPr>
                      <w:b/>
                      <w:bCs/>
                      <w:i/>
                      <w:iCs/>
                    </w:rPr>
                    <w:t xml:space="preserve"> года</w:t>
                  </w:r>
                  <w:r w:rsidRPr="00CD3F61">
                    <w:rPr>
                      <w:b/>
                      <w:bCs/>
                      <w:iCs/>
                    </w:rPr>
                    <w:t>.</w:t>
                  </w:r>
                </w:p>
                <w:p w:rsidR="00731DF4" w:rsidRPr="00CD3F61" w:rsidRDefault="00731DF4" w:rsidP="00731DF4">
                  <w:pPr>
                    <w:numPr>
                      <w:ilvl w:val="0"/>
                      <w:numId w:val="40"/>
                    </w:numPr>
                    <w:tabs>
                      <w:tab w:val="num" w:pos="426"/>
                    </w:tabs>
                    <w:autoSpaceDE/>
                    <w:autoSpaceDN/>
                    <w:ind w:left="0" w:firstLine="0"/>
                    <w:jc w:val="both"/>
                  </w:pPr>
                  <w:r w:rsidRPr="00CD3F61">
                    <w:t>Стандарты бухгалтерской отч</w:t>
                  </w:r>
                  <w:r>
                    <w:t>е</w:t>
                  </w:r>
                  <w:r w:rsidRPr="00CD3F61">
                    <w:t>тности, в соответствии с которыми составлена промежуточная бухгалтерская отч</w:t>
                  </w:r>
                  <w:r>
                    <w:t>е</w:t>
                  </w:r>
                  <w:r w:rsidRPr="00CD3F61">
                    <w:t xml:space="preserve">тность: </w:t>
                  </w:r>
                  <w:r w:rsidRPr="006B59D5">
                    <w:rPr>
                      <w:b/>
                      <w:i/>
                    </w:rPr>
                    <w:t>Российские стандарты бухгалтерского учета (РСБУ)</w:t>
                  </w:r>
                  <w:r w:rsidRPr="00CD3F61">
                    <w:rPr>
                      <w:b/>
                    </w:rPr>
                    <w:t>.</w:t>
                  </w:r>
                </w:p>
                <w:p w:rsidR="00731DF4" w:rsidRPr="00CD3F61" w:rsidRDefault="00731DF4" w:rsidP="00731DF4">
                  <w:pPr>
                    <w:numPr>
                      <w:ilvl w:val="0"/>
                      <w:numId w:val="40"/>
                    </w:numPr>
                    <w:tabs>
                      <w:tab w:val="num" w:pos="426"/>
                    </w:tabs>
                    <w:autoSpaceDE/>
                    <w:autoSpaceDN/>
                    <w:ind w:left="0" w:firstLine="0"/>
                    <w:jc w:val="both"/>
                  </w:pPr>
                  <w:r w:rsidRPr="00CD3F61">
                    <w:t>Сведения об аудиторе, подготовившем аудиторское заключение в отношении соответствующей промежуточной бухгалтерской отч</w:t>
                  </w:r>
                  <w:r>
                    <w:t>е</w:t>
                  </w:r>
                  <w:r w:rsidRPr="00CD3F61">
                    <w:t xml:space="preserve">тности эмитента: </w:t>
                  </w:r>
                  <w:proofErr w:type="gramStart"/>
                  <w:r w:rsidRPr="006B59D5">
                    <w:rPr>
                      <w:b/>
                      <w:i/>
                    </w:rPr>
                    <w:t>В</w:t>
                  </w:r>
                  <w:proofErr w:type="gramEnd"/>
                  <w:r w:rsidR="00BD691C">
                    <w:rPr>
                      <w:b/>
                      <w:i/>
                    </w:rPr>
                    <w:t xml:space="preserve"> </w:t>
                  </w:r>
                  <w:r w:rsidRPr="006B59D5">
                    <w:rPr>
                      <w:b/>
                      <w:i/>
                    </w:rPr>
                    <w:t>отношении промежуточной бухгалтерской отчетности ПАО «</w:t>
                  </w:r>
                  <w:r>
                    <w:rPr>
                      <w:b/>
                      <w:i/>
                    </w:rPr>
                    <w:t>НЕФАЗ</w:t>
                  </w:r>
                  <w:r w:rsidRPr="006B59D5">
                    <w:rPr>
                      <w:b/>
                      <w:i/>
                    </w:rPr>
                    <w:t>» аудит не проводится</w:t>
                  </w:r>
                  <w:r w:rsidRPr="00CD3F61">
                    <w:rPr>
                      <w:b/>
                    </w:rPr>
                    <w:t xml:space="preserve">. </w:t>
                  </w:r>
                </w:p>
                <w:p w:rsidR="00731DF4" w:rsidRPr="006B59D5" w:rsidRDefault="00731DF4" w:rsidP="00731DF4">
                  <w:pPr>
                    <w:numPr>
                      <w:ilvl w:val="0"/>
                      <w:numId w:val="40"/>
                    </w:numPr>
                    <w:tabs>
                      <w:tab w:val="clear" w:pos="4472"/>
                      <w:tab w:val="num" w:pos="284"/>
                    </w:tabs>
                    <w:autoSpaceDE/>
                    <w:autoSpaceDN/>
                    <w:ind w:left="0" w:firstLine="0"/>
                    <w:jc w:val="both"/>
                    <w:rPr>
                      <w:b/>
                    </w:rPr>
                  </w:pPr>
                  <w:r w:rsidRPr="00CD3F61">
                    <w:rPr>
                      <w:bCs/>
                    </w:rPr>
                    <w:t>Доступ к инсайдерской информации эмитентом обеспечивается:</w:t>
                  </w:r>
                </w:p>
                <w:p w:rsidR="00731DF4" w:rsidRDefault="00731DF4" w:rsidP="00731DF4">
                  <w:pPr>
                    <w:autoSpaceDE/>
                    <w:autoSpaceDN/>
                    <w:jc w:val="both"/>
                    <w:rPr>
                      <w:b/>
                      <w:bCs/>
                      <w:i/>
                    </w:rPr>
                  </w:pPr>
                  <w:r w:rsidRPr="00F13CB9">
                    <w:rPr>
                      <w:bCs/>
                    </w:rPr>
                    <w:t>5.1.</w:t>
                  </w:r>
                  <w:r w:rsidRPr="006B59D5">
                    <w:rPr>
                      <w:b/>
                      <w:bCs/>
                      <w:i/>
                    </w:rPr>
                    <w:t xml:space="preserve"> Путем опубликования текста документа, содержащего инсайдерскую информацию на странице в сети Интернет: </w:t>
                  </w:r>
                </w:p>
                <w:p w:rsidR="00731DF4" w:rsidRPr="00BD691C" w:rsidRDefault="00BD691C" w:rsidP="00731DF4">
                  <w:pPr>
                    <w:autoSpaceDE/>
                    <w:autoSpaceDN/>
                    <w:jc w:val="both"/>
                    <w:rPr>
                      <w:b/>
                      <w:bCs/>
                      <w:i/>
                    </w:rPr>
                  </w:pPr>
                  <w:hyperlink r:id="rId7" w:history="1">
                    <w:r w:rsidRPr="00BD691C">
                      <w:rPr>
                        <w:rStyle w:val="af"/>
                        <w:b/>
                        <w:bCs/>
                        <w:i/>
                        <w:color w:val="auto"/>
                        <w:u w:val="none"/>
                      </w:rPr>
                      <w:t>http://www.e-disclosure.ru/portal/company.aspx?id=227</w:t>
                    </w:r>
                  </w:hyperlink>
                </w:p>
                <w:p w:rsidR="00BD691C" w:rsidRDefault="00BD691C" w:rsidP="00731DF4">
                  <w:pPr>
                    <w:autoSpaceDE/>
                    <w:autoSpaceDN/>
                    <w:jc w:val="both"/>
                    <w:rPr>
                      <w:b/>
                      <w:bCs/>
                      <w:i/>
                    </w:rPr>
                  </w:pPr>
                  <w:r w:rsidRPr="00BD691C">
                    <w:rPr>
                      <w:b/>
                      <w:bCs/>
                      <w:i/>
                    </w:rPr>
                    <w:t>http://www.nefaz.ru/</w:t>
                  </w:r>
                </w:p>
                <w:p w:rsidR="00731DF4" w:rsidRPr="006B59D5" w:rsidRDefault="00731DF4" w:rsidP="00731DF4">
                  <w:pPr>
                    <w:autoSpaceDE/>
                    <w:autoSpaceDN/>
                    <w:jc w:val="both"/>
                    <w:rPr>
                      <w:b/>
                      <w:bCs/>
                      <w:i/>
                    </w:rPr>
                  </w:pPr>
                  <w:r w:rsidRPr="00F13CB9">
                    <w:rPr>
                      <w:bCs/>
                    </w:rPr>
                    <w:t>5.2.</w:t>
                  </w:r>
                  <w:r w:rsidRPr="006B59D5">
                    <w:rPr>
                      <w:b/>
                      <w:bCs/>
                      <w:i/>
                    </w:rPr>
                    <w:t xml:space="preserve"> Путем опубликования в ленте новостей сообщения о порядке доступа к инсайдерской </w:t>
                  </w:r>
                  <w:r>
                    <w:rPr>
                      <w:b/>
                      <w:bCs/>
                      <w:i/>
                    </w:rPr>
                    <w:t>информации.</w:t>
                  </w:r>
                </w:p>
                <w:p w:rsidR="00731DF4" w:rsidRPr="00B113BD" w:rsidRDefault="00731DF4" w:rsidP="00731DF4">
                  <w:pPr>
                    <w:adjustRightInd w:val="0"/>
                    <w:ind w:right="113"/>
                    <w:jc w:val="both"/>
                  </w:pPr>
                  <w:r w:rsidRPr="00F13CB9">
                    <w:rPr>
                      <w:bCs/>
                    </w:rPr>
                    <w:t>5.3.</w:t>
                  </w:r>
                  <w:r w:rsidRPr="006B59D5">
                    <w:rPr>
                      <w:b/>
                      <w:bCs/>
                      <w:i/>
                    </w:rPr>
                    <w:t xml:space="preserve"> Путем предоставления копии документа, содержащего инсайдерскую информацию по требованию заинтересованного лица в срок не более 7 дней с даты получения (предъявления) требования за плату, не превышающую расходов на изготовление копии.</w:t>
                  </w:r>
                  <w:r w:rsidRPr="00CD3F61">
                    <w:rPr>
                      <w:b/>
                      <w:bCs/>
                    </w:rPr>
                    <w:br/>
                  </w:r>
                  <w:r>
                    <w:t xml:space="preserve">6. </w:t>
                  </w:r>
                  <w:r w:rsidRPr="00CD3F61">
                    <w:t>Дата опубликования эмитентом текста промежуточной бухгалтерской отч</w:t>
                  </w:r>
                  <w:r>
                    <w:t>е</w:t>
                  </w:r>
                  <w:r w:rsidRPr="00CD3F61">
                    <w:t>тности на странице в сети Интернет:</w:t>
                  </w:r>
                  <w:r w:rsidRPr="00CD3F61">
                    <w:rPr>
                      <w:b/>
                    </w:rPr>
                    <w:t xml:space="preserve"> </w:t>
                  </w:r>
                  <w:r w:rsidR="0002361E">
                    <w:rPr>
                      <w:b/>
                      <w:bCs/>
                      <w:i/>
                    </w:rPr>
                    <w:t>29</w:t>
                  </w:r>
                  <w:r w:rsidRPr="005A1D18">
                    <w:rPr>
                      <w:b/>
                      <w:bCs/>
                      <w:i/>
                    </w:rPr>
                    <w:t xml:space="preserve"> </w:t>
                  </w:r>
                  <w:r>
                    <w:rPr>
                      <w:b/>
                      <w:bCs/>
                      <w:i/>
                    </w:rPr>
                    <w:t>октября 2021</w:t>
                  </w:r>
                  <w:r w:rsidRPr="005A1D18">
                    <w:rPr>
                      <w:b/>
                      <w:bCs/>
                      <w:i/>
                    </w:rPr>
                    <w:t xml:space="preserve"> года.</w:t>
                  </w:r>
                </w:p>
                <w:p w:rsidR="005B6C78" w:rsidRPr="00B62BCC" w:rsidRDefault="005B6C78" w:rsidP="00523B99">
                  <w:pPr>
                    <w:adjustRightInd w:val="0"/>
                    <w:ind w:left="113" w:right="113"/>
                    <w:jc w:val="both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B113BD">
                    <w:t>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5A2735">
              <w:rPr>
                <w:bCs/>
              </w:rPr>
              <w:t xml:space="preserve">3.1. </w:t>
            </w:r>
            <w:r w:rsidR="00B6290E">
              <w:t xml:space="preserve">Генеральный директор </w:t>
            </w:r>
            <w:r w:rsidR="00757D88" w:rsidRPr="00C22FBE">
              <w:t xml:space="preserve">  </w:t>
            </w:r>
            <w:r w:rsidR="003913A3">
              <w:t xml:space="preserve">                         </w:t>
            </w:r>
            <w:r w:rsidR="00757D88" w:rsidRPr="00C22FBE">
              <w:t xml:space="preserve">___________________ </w:t>
            </w:r>
            <w:r w:rsidR="003913A3">
              <w:t xml:space="preserve">           </w:t>
            </w:r>
            <w:r w:rsidR="00B6290E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</w:t>
            </w:r>
            <w:r w:rsidR="003913A3">
              <w:t xml:space="preserve">           </w:t>
            </w:r>
            <w:r w:rsidRPr="00C22FBE">
              <w:t xml:space="preserve">               </w:t>
            </w:r>
            <w:r w:rsidR="003913A3">
              <w:t xml:space="preserve">        </w:t>
            </w:r>
            <w:r w:rsidRPr="00C22FBE">
              <w:t>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>
              <w:rPr>
                <w:bCs/>
              </w:rPr>
              <w:t>3.2. Дата «</w:t>
            </w:r>
            <w:r w:rsidR="00BD691C">
              <w:rPr>
                <w:bCs/>
              </w:rPr>
              <w:t>2</w:t>
            </w:r>
            <w:r w:rsidR="0002361E">
              <w:rPr>
                <w:bCs/>
              </w:rPr>
              <w:t>9</w:t>
            </w:r>
            <w:bookmarkStart w:id="0" w:name="_GoBack"/>
            <w:bookmarkEnd w:id="0"/>
            <w:r w:rsidR="008230D9">
              <w:rPr>
                <w:bCs/>
              </w:rPr>
              <w:t>»</w:t>
            </w:r>
            <w:r w:rsidR="00682576">
              <w:rPr>
                <w:bCs/>
              </w:rPr>
              <w:t xml:space="preserve"> октя</w:t>
            </w:r>
            <w:r w:rsidR="00960D0D">
              <w:rPr>
                <w:bCs/>
              </w:rPr>
              <w:t xml:space="preserve">бря </w:t>
            </w:r>
            <w:r w:rsidR="00B62BCC">
              <w:rPr>
                <w:bCs/>
              </w:rPr>
              <w:t>202</w:t>
            </w:r>
            <w:r w:rsidR="004B0EA7">
              <w:rPr>
                <w:bCs/>
              </w:rPr>
              <w:t>1</w:t>
            </w:r>
            <w:r w:rsidR="005A2735" w:rsidRPr="005A2735">
              <w:rPr>
                <w:bCs/>
              </w:rPr>
              <w:t xml:space="preserve"> г.  </w:t>
            </w:r>
            <w:r w:rsidR="003913A3">
              <w:rPr>
                <w:bCs/>
              </w:rPr>
              <w:t xml:space="preserve">                       </w:t>
            </w:r>
            <w:r w:rsidR="005A2735" w:rsidRPr="005A2735">
              <w:rPr>
                <w:bCs/>
              </w:rPr>
              <w:t xml:space="preserve"> </w:t>
            </w:r>
            <w:proofErr w:type="spellStart"/>
            <w:r w:rsidR="003913A3">
              <w:rPr>
                <w:bCs/>
              </w:rPr>
              <w:t>м.п</w:t>
            </w:r>
            <w:proofErr w:type="spellEnd"/>
            <w:r w:rsidR="003913A3">
              <w:rPr>
                <w:bCs/>
              </w:rPr>
              <w:t>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B340E" w:rsidRPr="00FD4B8F" w:rsidRDefault="00EB340E" w:rsidP="00BD691C">
      <w:pPr>
        <w:spacing w:line="276" w:lineRule="auto"/>
      </w:pPr>
    </w:p>
    <w:sectPr w:rsidR="00EB340E" w:rsidRPr="00FD4B8F" w:rsidSect="00263CAF">
      <w:footerReference w:type="default" r:id="rId8"/>
      <w:pgSz w:w="11906" w:h="16838" w:code="9"/>
      <w:pgMar w:top="150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C3" w:rsidRDefault="00C520C3">
      <w:r>
        <w:separator/>
      </w:r>
    </w:p>
  </w:endnote>
  <w:endnote w:type="continuationSeparator" w:id="0">
    <w:p w:rsidR="00C520C3" w:rsidRDefault="00C5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C3" w:rsidRDefault="00C520C3">
      <w:r>
        <w:separator/>
      </w:r>
    </w:p>
  </w:footnote>
  <w:footnote w:type="continuationSeparator" w:id="0">
    <w:p w:rsidR="00C520C3" w:rsidRDefault="00C52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B0"/>
    <w:multiLevelType w:val="hybridMultilevel"/>
    <w:tmpl w:val="153E6E3E"/>
    <w:lvl w:ilvl="0" w:tplc="A1EA1E7A">
      <w:start w:val="1"/>
      <w:numFmt w:val="decimal"/>
      <w:lvlText w:val="%1.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3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4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5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 w15:restartNumberingAfterBreak="0">
    <w:nsid w:val="5A855DCF"/>
    <w:multiLevelType w:val="hybridMultilevel"/>
    <w:tmpl w:val="7A708FE4"/>
    <w:lvl w:ilvl="0" w:tplc="9DDEBA3E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9" w15:restartNumberingAfterBreak="0">
    <w:nsid w:val="5E4D0C2A"/>
    <w:multiLevelType w:val="hybridMultilevel"/>
    <w:tmpl w:val="35882A4C"/>
    <w:lvl w:ilvl="0" w:tplc="3710C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31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7"/>
  </w:num>
  <w:num w:numId="5">
    <w:abstractNumId w:val="6"/>
  </w:num>
  <w:num w:numId="6">
    <w:abstractNumId w:val="35"/>
  </w:num>
  <w:num w:numId="7">
    <w:abstractNumId w:val="31"/>
  </w:num>
  <w:num w:numId="8">
    <w:abstractNumId w:val="21"/>
  </w:num>
  <w:num w:numId="9">
    <w:abstractNumId w:val="11"/>
  </w:num>
  <w:num w:numId="10">
    <w:abstractNumId w:val="1"/>
  </w:num>
  <w:num w:numId="11">
    <w:abstractNumId w:val="22"/>
  </w:num>
  <w:num w:numId="12">
    <w:abstractNumId w:val="33"/>
  </w:num>
  <w:num w:numId="13">
    <w:abstractNumId w:val="37"/>
  </w:num>
  <w:num w:numId="14">
    <w:abstractNumId w:val="2"/>
  </w:num>
  <w:num w:numId="15">
    <w:abstractNumId w:val="18"/>
  </w:num>
  <w:num w:numId="16">
    <w:abstractNumId w:val="19"/>
  </w:num>
  <w:num w:numId="17">
    <w:abstractNumId w:val="16"/>
  </w:num>
  <w:num w:numId="18">
    <w:abstractNumId w:val="8"/>
  </w:num>
  <w:num w:numId="19">
    <w:abstractNumId w:val="5"/>
  </w:num>
  <w:num w:numId="20">
    <w:abstractNumId w:val="15"/>
  </w:num>
  <w:num w:numId="21">
    <w:abstractNumId w:val="4"/>
  </w:num>
  <w:num w:numId="22">
    <w:abstractNumId w:val="17"/>
  </w:num>
  <w:num w:numId="23">
    <w:abstractNumId w:val="24"/>
  </w:num>
  <w:num w:numId="24">
    <w:abstractNumId w:val="27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8"/>
  </w:num>
  <w:num w:numId="28">
    <w:abstractNumId w:val="20"/>
  </w:num>
  <w:num w:numId="29">
    <w:abstractNumId w:val="36"/>
  </w:num>
  <w:num w:numId="30">
    <w:abstractNumId w:val="34"/>
  </w:num>
  <w:num w:numId="31">
    <w:abstractNumId w:val="13"/>
  </w:num>
  <w:num w:numId="32">
    <w:abstractNumId w:val="32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0"/>
  </w:num>
  <w:num w:numId="39">
    <w:abstractNumId w:val="2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2361E"/>
    <w:rsid w:val="00061D7F"/>
    <w:rsid w:val="00075CB0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52CC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3CAF"/>
    <w:rsid w:val="00264FAE"/>
    <w:rsid w:val="0027029E"/>
    <w:rsid w:val="00275554"/>
    <w:rsid w:val="002A19B2"/>
    <w:rsid w:val="002B3D16"/>
    <w:rsid w:val="002B73D4"/>
    <w:rsid w:val="002C2565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6119E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2472D"/>
    <w:rsid w:val="00626B31"/>
    <w:rsid w:val="00626E8E"/>
    <w:rsid w:val="00634431"/>
    <w:rsid w:val="00656CBD"/>
    <w:rsid w:val="00670A08"/>
    <w:rsid w:val="00682576"/>
    <w:rsid w:val="00694116"/>
    <w:rsid w:val="006C0627"/>
    <w:rsid w:val="006C3611"/>
    <w:rsid w:val="006D2923"/>
    <w:rsid w:val="006D5AA1"/>
    <w:rsid w:val="006F1BDA"/>
    <w:rsid w:val="006F2809"/>
    <w:rsid w:val="00725A85"/>
    <w:rsid w:val="00731DF4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776A5"/>
    <w:rsid w:val="00884323"/>
    <w:rsid w:val="0089023A"/>
    <w:rsid w:val="0089238D"/>
    <w:rsid w:val="008969F7"/>
    <w:rsid w:val="008C01B1"/>
    <w:rsid w:val="0090155A"/>
    <w:rsid w:val="0091235F"/>
    <w:rsid w:val="00914B42"/>
    <w:rsid w:val="00917333"/>
    <w:rsid w:val="00931031"/>
    <w:rsid w:val="00943640"/>
    <w:rsid w:val="00960D0D"/>
    <w:rsid w:val="00966EB3"/>
    <w:rsid w:val="00971AD9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2E08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2294"/>
    <w:rsid w:val="00B070AD"/>
    <w:rsid w:val="00B113BD"/>
    <w:rsid w:val="00B2595E"/>
    <w:rsid w:val="00B6053E"/>
    <w:rsid w:val="00B6290E"/>
    <w:rsid w:val="00B62BCC"/>
    <w:rsid w:val="00B94F98"/>
    <w:rsid w:val="00B96C6F"/>
    <w:rsid w:val="00BB092C"/>
    <w:rsid w:val="00BB2651"/>
    <w:rsid w:val="00BC36F4"/>
    <w:rsid w:val="00BC49B8"/>
    <w:rsid w:val="00BC6D61"/>
    <w:rsid w:val="00BD691C"/>
    <w:rsid w:val="00BE5005"/>
    <w:rsid w:val="00BF5268"/>
    <w:rsid w:val="00C4128C"/>
    <w:rsid w:val="00C43E9C"/>
    <w:rsid w:val="00C520C3"/>
    <w:rsid w:val="00C731C5"/>
    <w:rsid w:val="00C75E9D"/>
    <w:rsid w:val="00C85A93"/>
    <w:rsid w:val="00CB38B5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6335E"/>
    <w:rsid w:val="00D812BB"/>
    <w:rsid w:val="00D82867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536C"/>
    <w:rsid w:val="00E36C3C"/>
    <w:rsid w:val="00E51E00"/>
    <w:rsid w:val="00E532DC"/>
    <w:rsid w:val="00E81A62"/>
    <w:rsid w:val="00E85D59"/>
    <w:rsid w:val="00EA2FD4"/>
    <w:rsid w:val="00EB09CF"/>
    <w:rsid w:val="00EB340E"/>
    <w:rsid w:val="00EC2B52"/>
    <w:rsid w:val="00EC6015"/>
    <w:rsid w:val="00EF5571"/>
    <w:rsid w:val="00F235D4"/>
    <w:rsid w:val="00F259DD"/>
    <w:rsid w:val="00F26A63"/>
    <w:rsid w:val="00F33C25"/>
    <w:rsid w:val="00F56F36"/>
    <w:rsid w:val="00F60349"/>
    <w:rsid w:val="00F66083"/>
    <w:rsid w:val="00FB0507"/>
    <w:rsid w:val="00FB1E55"/>
    <w:rsid w:val="00FC0938"/>
    <w:rsid w:val="00FC0BC1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DDFFC8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uiPriority w:val="99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uiPriority w:val="99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3</cp:revision>
  <cp:lastPrinted>2019-03-19T12:27:00Z</cp:lastPrinted>
  <dcterms:created xsi:type="dcterms:W3CDTF">2021-10-28T10:02:00Z</dcterms:created>
  <dcterms:modified xsi:type="dcterms:W3CDTF">2021-10-28T12:04:00Z</dcterms:modified>
</cp:coreProperties>
</file>